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2D9B" w14:textId="3B44DB92" w:rsidR="00427410" w:rsidRPr="00B463E5" w:rsidRDefault="002817F7" w:rsidP="00B463E5">
      <w:pPr>
        <w:autoSpaceDE w:val="0"/>
        <w:autoSpaceDN w:val="0"/>
        <w:adjustRightInd w:val="0"/>
        <w:spacing w:line="312" w:lineRule="auto"/>
        <w:ind w:right="6" w:firstLine="72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                            </w:t>
      </w:r>
      <w:r w:rsidR="00427410"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CHƯƠNG TRÌNH TẬP HUẤN</w:t>
      </w:r>
    </w:p>
    <w:p w14:paraId="4BC1B170" w14:textId="77777777" w:rsidR="00B463E5" w:rsidRDefault="00B463E5" w:rsidP="00B463E5">
      <w:pPr>
        <w:autoSpaceDE w:val="0"/>
        <w:autoSpaceDN w:val="0"/>
        <w:adjustRightInd w:val="0"/>
        <w:spacing w:line="312" w:lineRule="auto"/>
        <w:ind w:right="6"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14:paraId="680A792C" w14:textId="77777777" w:rsidR="00B463E5" w:rsidRPr="00B463E5" w:rsidRDefault="00B463E5" w:rsidP="00B463E5">
      <w:pPr>
        <w:autoSpaceDE w:val="0"/>
        <w:autoSpaceDN w:val="0"/>
        <w:adjustRightInd w:val="0"/>
        <w:spacing w:line="312" w:lineRule="auto"/>
        <w:ind w:right="6"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14:paraId="36B379EE" w14:textId="1CF2E24B" w:rsidR="00427410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>“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Tư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vấn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bảo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vệ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trẻ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em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hợp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khẩn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cấp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ứng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phó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đại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dịch</w:t>
      </w:r>
      <w:proofErr w:type="spellEnd"/>
      <w:r w:rsidRPr="00B463E5">
        <w:rPr>
          <w:rFonts w:ascii="Times New Roman" w:hAnsi="Times New Roman"/>
          <w:b/>
          <w:bCs/>
          <w:color w:val="000000" w:themeColor="text1"/>
          <w:sz w:val="26"/>
          <w:szCs w:val="26"/>
        </w:rPr>
        <w:t>”</w:t>
      </w:r>
    </w:p>
    <w:p w14:paraId="0C2DBDAA" w14:textId="77777777" w:rsidR="00B463E5" w:rsidRPr="00B463E5" w:rsidRDefault="00B463E5" w:rsidP="00427410">
      <w:pPr>
        <w:autoSpaceDE w:val="0"/>
        <w:autoSpaceDN w:val="0"/>
        <w:adjustRightInd w:val="0"/>
        <w:spacing w:line="312" w:lineRule="auto"/>
        <w:ind w:right="6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E597388" w14:textId="77777777" w:rsidR="00427410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1.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Mục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tiêu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khóa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tập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huấn</w:t>
      </w:r>
      <w:proofErr w:type="spellEnd"/>
    </w:p>
    <w:p w14:paraId="7BB27AD8" w14:textId="77777777" w:rsidR="00B463E5" w:rsidRPr="00B463E5" w:rsidRDefault="00B463E5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</w:p>
    <w:p w14:paraId="68B1FA9A" w14:textId="77777777" w:rsidR="00427410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Sau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khóa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huấn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viên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kĩ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60A01FFF" w14:textId="65C9EE68" w:rsidR="002817F7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  <w:highlight w:val="yellow"/>
        </w:rPr>
        <w:t>Quyền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  <w:highlight w:val="yellow"/>
        </w:rPr>
        <w:t>tre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  <w:highlight w:val="yellow"/>
        </w:rPr>
        <w:t xml:space="preserve">̉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  <w:highlight w:val="yellow"/>
        </w:rPr>
        <w:t>em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giới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thiệu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sơ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lược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vê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ước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quóc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tê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́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vê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quyền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tre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̉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>cấp</w:t>
      </w:r>
      <w:proofErr w:type="spellEnd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>đô</w:t>
      </w:r>
      <w:proofErr w:type="spellEnd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̣ </w:t>
      </w:r>
      <w:proofErr w:type="spellStart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>bảo</w:t>
      </w:r>
      <w:proofErr w:type="spellEnd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>vê</w:t>
      </w:r>
      <w:proofErr w:type="spellEnd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̣ </w:t>
      </w:r>
      <w:proofErr w:type="spellStart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>tre</w:t>
      </w:r>
      <w:proofErr w:type="spellEnd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̉ </w:t>
      </w:r>
      <w:proofErr w:type="spellStart"/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va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>luật</w:t>
      </w:r>
      <w:proofErr w:type="spellEnd"/>
      <w:r w:rsidR="002817F7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3F2D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BVTE </w:t>
      </w:r>
      <w:proofErr w:type="gramStart"/>
      <w:r w:rsidR="00413F2D" w:rsidRPr="00B463E5">
        <w:rPr>
          <w:rFonts w:ascii="Times New Roman" w:hAnsi="Times New Roman"/>
          <w:color w:val="000000" w:themeColor="text1"/>
          <w:sz w:val="26"/>
          <w:szCs w:val="26"/>
        </w:rPr>
        <w:t>2016</w:t>
      </w:r>
      <w:r w:rsidR="0029314E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3F2D" w:rsidRPr="00B463E5">
        <w:rPr>
          <w:rFonts w:ascii="Times New Roman" w:hAnsi="Times New Roman"/>
          <w:color w:val="000000" w:themeColor="text1"/>
          <w:sz w:val="26"/>
          <w:szCs w:val="26"/>
        </w:rPr>
        <w:t>)</w:t>
      </w:r>
      <w:proofErr w:type="gramEnd"/>
    </w:p>
    <w:p w14:paraId="0EE7C9C1" w14:textId="4A16D96B" w:rsidR="00427410" w:rsidRPr="00B463E5" w:rsidRDefault="002817F7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rủi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ro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khó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khăn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trẻ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sau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dịch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xâm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hại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bóc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lột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nguy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sử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internet/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mạng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xã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khỏe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tinh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>thần</w:t>
      </w:r>
      <w:proofErr w:type="spellEnd"/>
      <w:r w:rsidR="00427410"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…)</w:t>
      </w:r>
    </w:p>
    <w:p w14:paraId="6D33A27D" w14:textId="77777777" w:rsidR="00427410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Dấu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trẻ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gặp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khó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khăn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/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đang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hỗ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trợ</w:t>
      </w:r>
      <w:proofErr w:type="spellEnd"/>
    </w:p>
    <w:p w14:paraId="70ED8A25" w14:textId="77777777" w:rsidR="00427410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- Nguyên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tắc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kĩ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trẻ</w:t>
      </w:r>
      <w:proofErr w:type="spellEnd"/>
    </w:p>
    <w:p w14:paraId="63D9ADA4" w14:textId="77777777" w:rsidR="00427410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mạng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lưới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hỗ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trợ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trẻ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cấp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chế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báo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cáo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tuyến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trẻ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nguy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tổn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nghiêm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trọng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0E764B0" w14:textId="77777777" w:rsidR="00427410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2.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Đối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tượng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viên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cán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bộ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B463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80E944C" w14:textId="77777777" w:rsidR="00427410" w:rsidRPr="00B463E5" w:rsidRDefault="00427410" w:rsidP="00427410">
      <w:pPr>
        <w:pStyle w:val="Heading2"/>
        <w:spacing w:line="312" w:lineRule="auto"/>
        <w:ind w:right="6" w:firstLine="720"/>
        <w:jc w:val="both"/>
        <w:rPr>
          <w:rFonts w:ascii="Times New Roman" w:hAnsi="Times New Roman"/>
          <w:b w:val="0"/>
          <w:bCs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3. </w:t>
      </w:r>
      <w:proofErr w:type="spellStart"/>
      <w:r w:rsidRPr="00B463E5">
        <w:rPr>
          <w:rFonts w:ascii="Times New Roman" w:hAnsi="Times New Roman"/>
          <w:i/>
          <w:iCs/>
          <w:color w:val="000000" w:themeColor="text1"/>
          <w:sz w:val="26"/>
          <w:szCs w:val="26"/>
        </w:rPr>
        <w:t>Địa</w:t>
      </w:r>
      <w:proofErr w:type="spellEnd"/>
      <w:r w:rsidRPr="00B463E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i/>
          <w:iCs/>
          <w:color w:val="000000" w:themeColor="text1"/>
          <w:sz w:val="26"/>
          <w:szCs w:val="26"/>
        </w:rPr>
        <w:t>điểm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: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Tập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huấn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tại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3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xã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Kim Chung, Hải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Bối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–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huyện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Đông Anh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và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xã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Phú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Thị - </w:t>
      </w:r>
      <w:proofErr w:type="spellStart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huyện</w:t>
      </w:r>
      <w:proofErr w:type="spellEnd"/>
      <w:r w:rsidRPr="00B463E5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Gia Lâm </w:t>
      </w:r>
    </w:p>
    <w:p w14:paraId="225BF1B7" w14:textId="0022A725" w:rsidR="00427410" w:rsidRPr="00B463E5" w:rsidRDefault="00427410" w:rsidP="00427410">
      <w:pPr>
        <w:autoSpaceDE w:val="0"/>
        <w:autoSpaceDN w:val="0"/>
        <w:adjustRightInd w:val="0"/>
        <w:spacing w:line="312" w:lineRule="auto"/>
        <w:ind w:right="6"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4.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Chương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trình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tập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huấn</w:t>
      </w:r>
      <w:proofErr w:type="spellEnd"/>
      <w:r w:rsidRPr="00B463E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6246"/>
        <w:gridCol w:w="1777"/>
      </w:tblGrid>
      <w:tr w:rsidR="00B463E5" w:rsidRPr="00B463E5" w14:paraId="71F61718" w14:textId="77777777" w:rsidTr="008F02D7">
        <w:trPr>
          <w:tblHeader/>
          <w:jc w:val="center"/>
        </w:trPr>
        <w:tc>
          <w:tcPr>
            <w:tcW w:w="1794" w:type="dxa"/>
            <w:shd w:val="clear" w:color="auto" w:fill="D9E2F3"/>
          </w:tcPr>
          <w:p w14:paraId="3C54C59C" w14:textId="77777777" w:rsidR="00427410" w:rsidRPr="00B463E5" w:rsidRDefault="00427410" w:rsidP="008F02D7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6246" w:type="dxa"/>
            <w:shd w:val="clear" w:color="auto" w:fill="D9E2F3"/>
          </w:tcPr>
          <w:p w14:paraId="1B2DBA21" w14:textId="77777777" w:rsidR="00427410" w:rsidRPr="00B463E5" w:rsidRDefault="00427410" w:rsidP="008F02D7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77" w:type="dxa"/>
            <w:shd w:val="clear" w:color="auto" w:fill="D9E2F3"/>
          </w:tcPr>
          <w:p w14:paraId="444A5044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Phương pháp</w:t>
            </w:r>
          </w:p>
        </w:tc>
      </w:tr>
      <w:tr w:rsidR="00B463E5" w:rsidRPr="00B463E5" w14:paraId="1CE73435" w14:textId="77777777" w:rsidTr="008F02D7">
        <w:trPr>
          <w:jc w:val="center"/>
        </w:trPr>
        <w:tc>
          <w:tcPr>
            <w:tcW w:w="1794" w:type="dxa"/>
            <w:shd w:val="clear" w:color="auto" w:fill="auto"/>
          </w:tcPr>
          <w:p w14:paraId="08E0DE1F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7.45 – 8.00</w:t>
            </w:r>
          </w:p>
        </w:tc>
        <w:tc>
          <w:tcPr>
            <w:tcW w:w="6246" w:type="dxa"/>
            <w:shd w:val="clear" w:color="auto" w:fill="auto"/>
          </w:tcPr>
          <w:p w14:paraId="35B5FC0A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Chào đón học viên</w:t>
            </w:r>
          </w:p>
        </w:tc>
        <w:tc>
          <w:tcPr>
            <w:tcW w:w="1777" w:type="dxa"/>
            <w:shd w:val="clear" w:color="auto" w:fill="auto"/>
          </w:tcPr>
          <w:p w14:paraId="2192EEFD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463E5" w:rsidRPr="00B463E5" w14:paraId="07D5E52A" w14:textId="77777777" w:rsidTr="008F02D7">
        <w:trPr>
          <w:jc w:val="center"/>
        </w:trPr>
        <w:tc>
          <w:tcPr>
            <w:tcW w:w="1794" w:type="dxa"/>
            <w:shd w:val="clear" w:color="auto" w:fill="auto"/>
          </w:tcPr>
          <w:p w14:paraId="6CCA95FD" w14:textId="29077F64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8.00 – 8.</w:t>
            </w:r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246" w:type="dxa"/>
            <w:shd w:val="clear" w:color="auto" w:fill="auto"/>
          </w:tcPr>
          <w:p w14:paraId="32E908B7" w14:textId="451C7F65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Chào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</w:p>
          <w:p w14:paraId="31002D6C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Giới thiệu chương trình tập huấn</w:t>
            </w:r>
          </w:p>
          <w:p w14:paraId="6EDB5303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Xây dựng nội quy lớp học</w:t>
            </w:r>
          </w:p>
          <w:p w14:paraId="6F0C7E91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Pre-test</w:t>
            </w:r>
          </w:p>
        </w:tc>
        <w:tc>
          <w:tcPr>
            <w:tcW w:w="1777" w:type="dxa"/>
            <w:shd w:val="clear" w:color="auto" w:fill="auto"/>
          </w:tcPr>
          <w:p w14:paraId="4D6070D8" w14:textId="4B50F31C" w:rsidR="00427410" w:rsidRPr="00B463E5" w:rsidRDefault="00474673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cụ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từng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cách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hiện</w:t>
            </w:r>
            <w:proofErr w:type="spellEnd"/>
          </w:p>
        </w:tc>
      </w:tr>
      <w:tr w:rsidR="00B463E5" w:rsidRPr="00B463E5" w14:paraId="7F1A3E1D" w14:textId="77777777" w:rsidTr="008F02D7">
        <w:trPr>
          <w:jc w:val="center"/>
        </w:trPr>
        <w:tc>
          <w:tcPr>
            <w:tcW w:w="1794" w:type="dxa"/>
            <w:shd w:val="clear" w:color="auto" w:fill="auto"/>
          </w:tcPr>
          <w:p w14:paraId="33C535CE" w14:textId="66007352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 – 9.45</w:t>
            </w:r>
          </w:p>
        </w:tc>
        <w:tc>
          <w:tcPr>
            <w:tcW w:w="6246" w:type="dxa"/>
            <w:shd w:val="clear" w:color="auto" w:fill="auto"/>
          </w:tcPr>
          <w:p w14:paraId="0BCD9A6D" w14:textId="1FB123D8" w:rsidR="00413F2D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 xml:space="preserve">- </w:t>
            </w:r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 xml:space="preserve">Quyền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trẻ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em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mình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cập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phần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này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trước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vì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đây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là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tắc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căn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bản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phần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vê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là ta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đảm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bảo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tre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được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thực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hiện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quyền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tre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̉, chỉ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cần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giới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thiệu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ước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đời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nào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nhiêu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điều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tập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vào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nhóm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quyền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một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sô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điều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bản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Luật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BVTE 2016,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mục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là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giáo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viên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nhận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rằng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việc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học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hành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sóc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tre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nói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,…..là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thực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pháp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luật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đảm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bảo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quyền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hợp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pháp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tre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="00413F2D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</w:p>
          <w:p w14:paraId="116F19C0" w14:textId="1C05CFFD" w:rsidR="00427410" w:rsidRPr="00B463E5" w:rsidRDefault="00413F2D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tiểu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 THCS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nội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này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mình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thầy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đều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nắm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được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vì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đều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được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đào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tạo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trường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phạm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nếu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có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khác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đào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tạo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trường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phạm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cập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còn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nếu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mình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bo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qua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nội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này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đê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có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nhiều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nói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vê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quyền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tre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="00474673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14:paraId="2FADE67F" w14:textId="6D0936BB" w:rsidR="00427410" w:rsidRPr="00B463E5" w:rsidRDefault="006F7DEF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rủi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ro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khó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khăn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</w:p>
          <w:p w14:paraId="3D7054A1" w14:textId="314DB09E" w:rsidR="00427410" w:rsidRPr="00B463E5" w:rsidRDefault="006F7DEF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</w:t>
            </w:r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rủi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</w:p>
          <w:p w14:paraId="196B6AB3" w14:textId="05FD52BF" w:rsidR="00427410" w:rsidRPr="00B463E5" w:rsidRDefault="006F7DEF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14:paraId="48E91012" w14:textId="5BDE25F3" w:rsidR="006F7DEF" w:rsidRPr="00B463E5" w:rsidRDefault="006F7DEF" w:rsidP="00413F2D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Nhu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301A6179" w14:textId="6B430893" w:rsidR="00427410" w:rsidRPr="00B463E5" w:rsidRDefault="00474673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lastRenderedPageBreak/>
              <w:t>Nên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cụ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từng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cách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hiện</w:t>
            </w:r>
            <w:proofErr w:type="spellEnd"/>
          </w:p>
        </w:tc>
      </w:tr>
      <w:tr w:rsidR="00B463E5" w:rsidRPr="00B463E5" w14:paraId="55F8E655" w14:textId="77777777" w:rsidTr="008F02D7">
        <w:trPr>
          <w:jc w:val="center"/>
        </w:trPr>
        <w:tc>
          <w:tcPr>
            <w:tcW w:w="1794" w:type="dxa"/>
            <w:shd w:val="clear" w:color="auto" w:fill="auto"/>
          </w:tcPr>
          <w:p w14:paraId="2CCDD29A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9.45 – 10.00</w:t>
            </w:r>
          </w:p>
        </w:tc>
        <w:tc>
          <w:tcPr>
            <w:tcW w:w="6246" w:type="dxa"/>
            <w:shd w:val="clear" w:color="auto" w:fill="auto"/>
          </w:tcPr>
          <w:p w14:paraId="6F151F5B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Nghỉ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lao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1860D5DB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63E5" w:rsidRPr="00B463E5" w14:paraId="4765811E" w14:textId="77777777" w:rsidTr="008F02D7">
        <w:trPr>
          <w:trHeight w:val="1610"/>
          <w:jc w:val="center"/>
        </w:trPr>
        <w:tc>
          <w:tcPr>
            <w:tcW w:w="1794" w:type="dxa"/>
            <w:shd w:val="clear" w:color="auto" w:fill="auto"/>
          </w:tcPr>
          <w:p w14:paraId="48A9386D" w14:textId="77777777" w:rsidR="00427410" w:rsidRPr="00B463E5" w:rsidRDefault="00427410" w:rsidP="00427410">
            <w:pPr>
              <w:numPr>
                <w:ilvl w:val="1"/>
                <w:numId w:val="1"/>
              </w:num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 1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1.30</w:t>
            </w:r>
          </w:p>
        </w:tc>
        <w:tc>
          <w:tcPr>
            <w:tcW w:w="6246" w:type="dxa"/>
            <w:shd w:val="clear" w:color="auto" w:fill="auto"/>
          </w:tcPr>
          <w:p w14:paraId="1EE67681" w14:textId="77777777" w:rsidR="00427410" w:rsidRPr="00B463E5" w:rsidRDefault="00427410" w:rsidP="008F02D7">
            <w:pPr>
              <w:pStyle w:val="ListParagraph"/>
              <w:spacing w:line="312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ấu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hiệu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gặp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khó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khăn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đối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hỗ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trợ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14:paraId="0A5D0297" w14:textId="77777777" w:rsidR="00427410" w:rsidRPr="00B463E5" w:rsidRDefault="00427410" w:rsidP="008F02D7">
            <w:pPr>
              <w:pStyle w:val="ListParagraph"/>
              <w:spacing w:line="312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- Nguyên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tắc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hỗ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trợ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2D391886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suốt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B46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”</w:t>
            </w:r>
          </w:p>
          <w:p w14:paraId="026E92F7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</w:p>
          <w:p w14:paraId="6708CFBE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</w:p>
          <w:p w14:paraId="581686D6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Bảo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mật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33FB647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Tôn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chấp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</w:p>
          <w:p w14:paraId="6E40A944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Tin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41AA9010" w14:textId="6D4F4358" w:rsidR="00427410" w:rsidRPr="00B463E5" w:rsidRDefault="00474673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cụ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từng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cách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hiện</w:t>
            </w:r>
            <w:proofErr w:type="spellEnd"/>
          </w:p>
        </w:tc>
      </w:tr>
      <w:tr w:rsidR="00B463E5" w:rsidRPr="00B463E5" w14:paraId="31879174" w14:textId="77777777" w:rsidTr="008F02D7">
        <w:trPr>
          <w:jc w:val="center"/>
        </w:trPr>
        <w:tc>
          <w:tcPr>
            <w:tcW w:w="1794" w:type="dxa"/>
            <w:shd w:val="clear" w:color="auto" w:fill="auto"/>
          </w:tcPr>
          <w:p w14:paraId="1C17246E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1.30</w:t>
            </w:r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– 13.30</w:t>
            </w:r>
          </w:p>
        </w:tc>
        <w:tc>
          <w:tcPr>
            <w:tcW w:w="6246" w:type="dxa"/>
            <w:shd w:val="clear" w:color="auto" w:fill="auto"/>
          </w:tcPr>
          <w:p w14:paraId="3EDD6335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Nghỉ</w:t>
            </w:r>
            <w:proofErr w:type="spellEnd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4E33BA86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63E5" w:rsidRPr="00B463E5" w14:paraId="39C7DFAC" w14:textId="77777777" w:rsidTr="00427410">
        <w:trPr>
          <w:trHeight w:val="206"/>
          <w:jc w:val="center"/>
        </w:trPr>
        <w:tc>
          <w:tcPr>
            <w:tcW w:w="1794" w:type="dxa"/>
            <w:shd w:val="clear" w:color="auto" w:fill="auto"/>
          </w:tcPr>
          <w:p w14:paraId="38E3E2C3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13.30 – 1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3.45</w:t>
            </w:r>
          </w:p>
        </w:tc>
        <w:tc>
          <w:tcPr>
            <w:tcW w:w="6246" w:type="dxa"/>
            <w:shd w:val="clear" w:color="auto" w:fill="auto"/>
          </w:tcPr>
          <w:p w14:paraId="197F2198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3D387406" w14:textId="64E7290D" w:rsidR="00427410" w:rsidRPr="00B463E5" w:rsidRDefault="00474673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̀</w:t>
            </w:r>
          </w:p>
        </w:tc>
      </w:tr>
      <w:tr w:rsidR="00B463E5" w:rsidRPr="00B463E5" w14:paraId="4981D3C6" w14:textId="77777777" w:rsidTr="008F02D7">
        <w:trPr>
          <w:trHeight w:val="773"/>
          <w:jc w:val="center"/>
        </w:trPr>
        <w:tc>
          <w:tcPr>
            <w:tcW w:w="1794" w:type="dxa"/>
            <w:shd w:val="clear" w:color="auto" w:fill="auto"/>
          </w:tcPr>
          <w:p w14:paraId="43DCACFD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13.45 – 15.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6246" w:type="dxa"/>
            <w:shd w:val="clear" w:color="auto" w:fill="auto"/>
          </w:tcPr>
          <w:p w14:paraId="03E54825" w14:textId="6C4A4133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Quy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DEF"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</w:p>
          <w:p w14:paraId="0E0D6BF1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33F2AE61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cậy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00189110" w14:textId="508F4907" w:rsidR="00427410" w:rsidRPr="00B463E5" w:rsidRDefault="00474673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cụ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từng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cách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hiện</w:t>
            </w:r>
            <w:proofErr w:type="spellEnd"/>
          </w:p>
        </w:tc>
      </w:tr>
      <w:tr w:rsidR="00B463E5" w:rsidRPr="00B463E5" w14:paraId="4775ADA2" w14:textId="77777777" w:rsidTr="008F02D7">
        <w:trPr>
          <w:trHeight w:val="422"/>
          <w:jc w:val="center"/>
        </w:trPr>
        <w:tc>
          <w:tcPr>
            <w:tcW w:w="1794" w:type="dxa"/>
            <w:shd w:val="clear" w:color="auto" w:fill="auto"/>
          </w:tcPr>
          <w:p w14:paraId="14A63F48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15.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– 15.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6246" w:type="dxa"/>
            <w:shd w:val="clear" w:color="auto" w:fill="auto"/>
          </w:tcPr>
          <w:p w14:paraId="48D660EE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Giải lao</w:t>
            </w:r>
          </w:p>
        </w:tc>
        <w:tc>
          <w:tcPr>
            <w:tcW w:w="1777" w:type="dxa"/>
            <w:shd w:val="clear" w:color="auto" w:fill="auto"/>
          </w:tcPr>
          <w:p w14:paraId="63517801" w14:textId="77777777" w:rsidR="00427410" w:rsidRPr="00B463E5" w:rsidRDefault="00427410" w:rsidP="008F02D7">
            <w:pPr>
              <w:pStyle w:val="ListParagraph"/>
              <w:spacing w:line="312" w:lineRule="auto"/>
              <w:ind w:left="161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463E5" w:rsidRPr="00B463E5" w14:paraId="0548174F" w14:textId="77777777" w:rsidTr="008F02D7">
        <w:trPr>
          <w:trHeight w:val="782"/>
          <w:jc w:val="center"/>
        </w:trPr>
        <w:tc>
          <w:tcPr>
            <w:tcW w:w="1794" w:type="dxa"/>
            <w:shd w:val="clear" w:color="auto" w:fill="auto"/>
          </w:tcPr>
          <w:p w14:paraId="0892EF94" w14:textId="77777777" w:rsidR="00427410" w:rsidRPr="00B463E5" w:rsidRDefault="00427410" w:rsidP="008F02D7">
            <w:pPr>
              <w:pStyle w:val="ListParagraph"/>
              <w:spacing w:line="312" w:lineRule="auto"/>
              <w:ind w:left="0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15.15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– 16.</w:t>
            </w: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6246" w:type="dxa"/>
            <w:shd w:val="clear" w:color="auto" w:fill="auto"/>
          </w:tcPr>
          <w:p w14:paraId="07FDBE6F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2C7F6E9C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14:paraId="2FC318AF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đặt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</w:p>
          <w:p w14:paraId="6A96CC63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thấu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cảm</w:t>
            </w:r>
            <w:proofErr w:type="spellEnd"/>
          </w:p>
          <w:p w14:paraId="362BD180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Kĩ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phản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hồi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… </w:t>
            </w:r>
          </w:p>
        </w:tc>
        <w:tc>
          <w:tcPr>
            <w:tcW w:w="1777" w:type="dxa"/>
            <w:shd w:val="clear" w:color="auto" w:fill="auto"/>
          </w:tcPr>
          <w:p w14:paraId="4A10E5AE" w14:textId="131ED41B" w:rsidR="00427410" w:rsidRPr="00B463E5" w:rsidRDefault="00474673" w:rsidP="008F02D7">
            <w:pPr>
              <w:pStyle w:val="ListParagraph"/>
              <w:spacing w:line="312" w:lineRule="auto"/>
              <w:ind w:left="161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cụ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từng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cách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hiện</w:t>
            </w:r>
            <w:proofErr w:type="spellEnd"/>
          </w:p>
        </w:tc>
      </w:tr>
      <w:tr w:rsidR="00B463E5" w:rsidRPr="00B463E5" w14:paraId="1FE05B1B" w14:textId="77777777" w:rsidTr="008F02D7">
        <w:trPr>
          <w:trHeight w:val="782"/>
          <w:jc w:val="center"/>
        </w:trPr>
        <w:tc>
          <w:tcPr>
            <w:tcW w:w="1794" w:type="dxa"/>
            <w:shd w:val="clear" w:color="auto" w:fill="auto"/>
          </w:tcPr>
          <w:p w14:paraId="39B2F609" w14:textId="77777777" w:rsidR="00427410" w:rsidRPr="00B463E5" w:rsidRDefault="00427410" w:rsidP="008F02D7">
            <w:pPr>
              <w:pStyle w:val="ListParagraph"/>
              <w:spacing w:line="312" w:lineRule="auto"/>
              <w:ind w:left="0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16.15– 16.45</w:t>
            </w:r>
          </w:p>
        </w:tc>
        <w:tc>
          <w:tcPr>
            <w:tcW w:w="6246" w:type="dxa"/>
            <w:shd w:val="clear" w:color="auto" w:fill="auto"/>
          </w:tcPr>
          <w:p w14:paraId="219583EC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nghiêm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14:paraId="7FF2C79A" w14:textId="20BBD75E" w:rsidR="00427410" w:rsidRPr="00B463E5" w:rsidRDefault="00474673" w:rsidP="008F02D7">
            <w:pPr>
              <w:pStyle w:val="ListParagraph"/>
              <w:spacing w:line="312" w:lineRule="auto"/>
              <w:ind w:left="161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cập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cụ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thê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từng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cách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thức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thực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hiện</w:t>
            </w:r>
            <w:proofErr w:type="spellEnd"/>
          </w:p>
        </w:tc>
      </w:tr>
      <w:tr w:rsidR="00427410" w:rsidRPr="00B463E5" w14:paraId="38D98D7A" w14:textId="77777777" w:rsidTr="008F02D7">
        <w:trPr>
          <w:jc w:val="center"/>
        </w:trPr>
        <w:tc>
          <w:tcPr>
            <w:tcW w:w="1794" w:type="dxa"/>
            <w:shd w:val="clear" w:color="auto" w:fill="auto"/>
          </w:tcPr>
          <w:p w14:paraId="7D13CD88" w14:textId="77777777" w:rsidR="00427410" w:rsidRPr="00B463E5" w:rsidRDefault="00427410" w:rsidP="008F02D7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16.45 – 17.00</w:t>
            </w:r>
          </w:p>
        </w:tc>
        <w:tc>
          <w:tcPr>
            <w:tcW w:w="6246" w:type="dxa"/>
            <w:shd w:val="clear" w:color="auto" w:fill="auto"/>
          </w:tcPr>
          <w:p w14:paraId="7BC0D97B" w14:textId="00DDB725" w:rsidR="00427410" w:rsidRPr="00B463E5" w:rsidRDefault="00474673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Hỏi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đáp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va</w:t>
            </w:r>
            <w:proofErr w:type="spellEnd"/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̀ </w:t>
            </w:r>
            <w:r w:rsidR="00427410"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Tổng kết cuối ngày</w:t>
            </w:r>
          </w:p>
          <w:p w14:paraId="30644649" w14:textId="2D28C3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463E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Post – test</w:t>
            </w:r>
          </w:p>
        </w:tc>
        <w:tc>
          <w:tcPr>
            <w:tcW w:w="1777" w:type="dxa"/>
            <w:shd w:val="clear" w:color="auto" w:fill="auto"/>
          </w:tcPr>
          <w:p w14:paraId="11E92914" w14:textId="77777777" w:rsidR="00427410" w:rsidRPr="00B463E5" w:rsidRDefault="00427410" w:rsidP="008F02D7">
            <w:pPr>
              <w:spacing w:line="312" w:lineRule="auto"/>
              <w:ind w:firstLine="14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DB08435" w14:textId="77777777" w:rsidR="00295FDF" w:rsidRPr="00B463E5" w:rsidRDefault="00295FDF">
      <w:pPr>
        <w:rPr>
          <w:color w:val="000000" w:themeColor="text1"/>
        </w:rPr>
      </w:pPr>
    </w:p>
    <w:sectPr w:rsidR="00295FDF" w:rsidRPr="00B46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86B86"/>
    <w:multiLevelType w:val="multilevel"/>
    <w:tmpl w:val="78E44E02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948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10"/>
    <w:rsid w:val="001C1E2F"/>
    <w:rsid w:val="002817F7"/>
    <w:rsid w:val="0029314E"/>
    <w:rsid w:val="00295FDF"/>
    <w:rsid w:val="00413F2D"/>
    <w:rsid w:val="00427410"/>
    <w:rsid w:val="00474673"/>
    <w:rsid w:val="006F7DEF"/>
    <w:rsid w:val="00A9084B"/>
    <w:rsid w:val="00AE432C"/>
    <w:rsid w:val="00B24A1C"/>
    <w:rsid w:val="00B463E5"/>
    <w:rsid w:val="00B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7B6F"/>
  <w15:chartTrackingRefBased/>
  <w15:docId w15:val="{7E7D75E9-0E90-4D25-863F-405DB13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1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410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7410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ListParagraph">
    <w:name w:val="List Paragraph"/>
    <w:aliases w:val="References,Paragraphe de liste1,Bullets,Paragraphe à Puce,Titre1,Paragraphe de liste 1,List Square,Superíndice,SuperíndiceCxSpLast,SuperíndiceCxSpLastCxSpLast,SuperíndiceCxSpLastCxSpLastCxSpLast,Ilustraciones,List Paragraph1,L,Dot pt,列出段落"/>
    <w:basedOn w:val="Normal"/>
    <w:link w:val="ListParagraphChar"/>
    <w:uiPriority w:val="34"/>
    <w:qFormat/>
    <w:rsid w:val="00427410"/>
    <w:pPr>
      <w:ind w:left="720"/>
    </w:pPr>
    <w:rPr>
      <w:lang w:val="x-none"/>
    </w:rPr>
  </w:style>
  <w:style w:type="character" w:customStyle="1" w:styleId="ListParagraphChar">
    <w:name w:val="List Paragraph Char"/>
    <w:aliases w:val="References Char,Paragraphe de liste1 Char,Bullets Char,Paragraphe à Puce Char,Titre1 Char,Paragraphe de liste 1 Char,List Square Char,Superíndice Char,SuperíndiceCxSpLast Char,SuperíndiceCxSpLastCxSpLast Char,Ilustraciones Char"/>
    <w:link w:val="ListParagraph"/>
    <w:uiPriority w:val="34"/>
    <w:qFormat/>
    <w:locked/>
    <w:rsid w:val="00427410"/>
    <w:rPr>
      <w:rFonts w:ascii="Arial" w:eastAsia="Times New Roman" w:hAnsi="Arial" w:cs="Times New Roman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Hương Nguyen</dc:creator>
  <cp:keywords/>
  <dc:description/>
  <cp:lastModifiedBy>Pham Gia Binh</cp:lastModifiedBy>
  <cp:revision>5</cp:revision>
  <dcterms:created xsi:type="dcterms:W3CDTF">2023-08-01T13:45:00Z</dcterms:created>
  <dcterms:modified xsi:type="dcterms:W3CDTF">2023-08-27T09:10:00Z</dcterms:modified>
</cp:coreProperties>
</file>